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3BBC259" w:rsidR="005E7182" w:rsidRPr="00DD23B7" w:rsidRDefault="00C65E74" w:rsidP="005E7182">
      <w:pPr>
        <w:pStyle w:val="Header"/>
        <w:tabs>
          <w:tab w:val="right" w:pos="9639"/>
        </w:tabs>
        <w:rPr>
          <w:bCs/>
          <w:noProof w:val="0"/>
          <w:sz w:val="24"/>
          <w:szCs w:val="24"/>
        </w:rPr>
      </w:pPr>
      <w:bookmarkStart w:id="0" w:name="_Hlk37418177"/>
      <w:bookmarkStart w:id="1" w:name="_Hlk148433929"/>
      <w:r w:rsidRPr="00C65E74">
        <w:rPr>
          <w:bCs/>
          <w:noProof w:val="0"/>
          <w:sz w:val="24"/>
          <w:szCs w:val="24"/>
        </w:rPr>
        <w:t>3GPP TSG-RAN WG3 Meeting #131</w:t>
      </w:r>
      <w:r w:rsidR="005E7182">
        <w:tab/>
      </w:r>
      <w:r w:rsidR="00D26A14" w:rsidRPr="00D26A14">
        <w:rPr>
          <w:bCs/>
          <w:noProof w:val="0"/>
          <w:sz w:val="24"/>
          <w:szCs w:val="24"/>
        </w:rPr>
        <w:t>R3-260453</w:t>
      </w:r>
    </w:p>
    <w:bookmarkEnd w:id="0"/>
    <w:bookmarkEnd w:id="1"/>
    <w:p w14:paraId="3591D07B" w14:textId="4F591D27" w:rsidR="00607A7F" w:rsidRPr="00137C44" w:rsidRDefault="00733E1E" w:rsidP="00607A7F">
      <w:pPr>
        <w:pStyle w:val="Header"/>
        <w:rPr>
          <w:bCs/>
          <w:noProof w:val="0"/>
          <w:sz w:val="24"/>
          <w:szCs w:val="24"/>
        </w:rPr>
      </w:pPr>
      <w:r w:rsidRPr="00733E1E">
        <w:rPr>
          <w:sz w:val="24"/>
        </w:rPr>
        <w:t>Göteborg</w:t>
      </w:r>
      <w:r w:rsidR="00C65E74" w:rsidRPr="00C65E74">
        <w:rPr>
          <w:sz w:val="24"/>
        </w:rPr>
        <w:t>,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D3E1832"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64239D">
        <w:rPr>
          <w:rFonts w:cs="Arial"/>
          <w:b/>
          <w:bCs/>
          <w:sz w:val="24"/>
          <w:lang w:val="en-US"/>
        </w:rPr>
        <w:t>3.2.3</w:t>
      </w:r>
    </w:p>
    <w:p w14:paraId="30E02942" w14:textId="473DFD36"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r w:rsidR="00E43988" w:rsidRPr="002F1481">
        <w:rPr>
          <w:rFonts w:ascii="Arial" w:hAnsi="Arial" w:cs="Arial"/>
          <w:b/>
          <w:bCs/>
        </w:rPr>
        <w:t xml:space="preserve">, </w:t>
      </w:r>
      <w:r w:rsidR="00C65E74">
        <w:rPr>
          <w:rFonts w:ascii="Arial" w:hAnsi="Arial" w:cs="Arial"/>
          <w:b/>
          <w:bCs/>
        </w:rPr>
        <w:t>XXXX</w:t>
      </w:r>
    </w:p>
    <w:p w14:paraId="30E02943" w14:textId="2915F7F0" w:rsidR="0034111C" w:rsidRPr="002F1481" w:rsidRDefault="0034111C" w:rsidP="0064239D">
      <w:pPr>
        <w:tabs>
          <w:tab w:val="left" w:pos="1620"/>
        </w:tabs>
        <w:ind w:left="1980"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w:t>
      </w:r>
      <w:r w:rsidR="00D26A14" w:rsidRPr="00D26A14">
        <w:rPr>
          <w:rFonts w:ascii="Arial" w:hAnsi="Arial" w:cs="Arial"/>
          <w:b/>
          <w:bCs/>
        </w:rPr>
        <w:t>(</w:t>
      </w:r>
      <w:proofErr w:type="spellStart"/>
      <w:r w:rsidR="00D26A14" w:rsidRPr="00D26A14">
        <w:rPr>
          <w:rFonts w:ascii="Arial" w:hAnsi="Arial" w:cs="Arial"/>
          <w:b/>
          <w:bCs/>
        </w:rPr>
        <w:t>pCR</w:t>
      </w:r>
      <w:proofErr w:type="spellEnd"/>
      <w:r w:rsidR="00D26A14" w:rsidRPr="00D26A14">
        <w:rPr>
          <w:rFonts w:ascii="Arial" w:hAnsi="Arial" w:cs="Arial"/>
          <w:b/>
          <w:bCs/>
        </w:rPr>
        <w:t xml:space="preserve"> to 38.760)</w:t>
      </w:r>
      <w:r w:rsidR="00D26A14" w:rsidRPr="00D26A14">
        <w:rPr>
          <w:rFonts w:ascii="Arial" w:hAnsi="Arial" w:cs="Arial"/>
          <w:b/>
          <w:bCs/>
        </w:rPr>
        <w:t xml:space="preserve"> </w:t>
      </w:r>
      <w:r w:rsidR="0064239D" w:rsidRPr="0064239D">
        <w:rPr>
          <w:rFonts w:ascii="Arial" w:hAnsi="Arial" w:cs="Arial"/>
          <w:b/>
          <w:bCs/>
        </w:rPr>
        <w:t xml:space="preserve">Evaluation </w:t>
      </w:r>
      <w:r w:rsidR="003B4D59">
        <w:rPr>
          <w:rFonts w:ascii="Arial" w:hAnsi="Arial" w:cs="Arial"/>
          <w:b/>
          <w:bCs/>
        </w:rPr>
        <w:t>Criteria</w:t>
      </w:r>
      <w:r w:rsidR="0064239D" w:rsidRPr="0064239D">
        <w:rPr>
          <w:rFonts w:ascii="Arial" w:hAnsi="Arial" w:cs="Arial"/>
          <w:b/>
          <w:bCs/>
        </w:rPr>
        <w:t xml:space="preserve"> for 6G RAN–CN CP Interface</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49D374E0" w14:textId="42944714" w:rsidR="0077421D" w:rsidRDefault="0064239D" w:rsidP="0064239D">
      <w:pPr>
        <w:jc w:val="both"/>
        <w:rPr>
          <w:rFonts w:ascii="Times New Roman" w:hAnsi="Times New Roman" w:cs="Times New Roman"/>
          <w:sz w:val="20"/>
          <w:szCs w:val="20"/>
        </w:rPr>
      </w:pPr>
      <w:r w:rsidRPr="0064239D">
        <w:rPr>
          <w:rFonts w:ascii="Times New Roman" w:hAnsi="Times New Roman" w:cs="Times New Roman"/>
          <w:sz w:val="20"/>
          <w:szCs w:val="20"/>
          <w:lang w:val="en-GB"/>
        </w:rPr>
        <w:t>The study item on 6G RAN architecture foresees an evaluation and comparison of candidate RAN–CN CP interface options, in particular Point-to-Point (P2P) and Service-Based Interface (SBI), with the objective of providing interim study results.</w:t>
      </w:r>
      <w:r w:rsidR="0077421D">
        <w:rPr>
          <w:rFonts w:ascii="Times New Roman" w:hAnsi="Times New Roman" w:cs="Times New Roman"/>
          <w:sz w:val="20"/>
          <w:szCs w:val="20"/>
          <w:lang w:val="en-GB"/>
        </w:rPr>
        <w:t xml:space="preserve"> </w:t>
      </w:r>
      <w:r w:rsidR="0077421D">
        <w:rPr>
          <w:rFonts w:ascii="Times New Roman" w:hAnsi="Times New Roman" w:cs="Times New Roman"/>
          <w:sz w:val="20"/>
          <w:szCs w:val="20"/>
        </w:rPr>
        <w:t xml:space="preserve">Following the </w:t>
      </w:r>
      <w:r w:rsidR="0077421D" w:rsidRPr="0077421D">
        <w:rPr>
          <w:rFonts w:ascii="Times New Roman" w:hAnsi="Times New Roman" w:cs="Times New Roman"/>
          <w:sz w:val="20"/>
          <w:szCs w:val="20"/>
        </w:rPr>
        <w:t>Agenda Item 10.3.2.3 descriptions</w:t>
      </w:r>
      <w:r w:rsidR="0077421D">
        <w:rPr>
          <w:rFonts w:ascii="Times New Roman" w:hAnsi="Times New Roman" w:cs="Times New Roman"/>
          <w:sz w:val="20"/>
          <w:szCs w:val="20"/>
        </w:rPr>
        <w:t xml:space="preserve">: </w:t>
      </w:r>
      <w:r w:rsidR="0077421D" w:rsidRPr="0077421D">
        <w:rPr>
          <w:rFonts w:ascii="Times New Roman" w:hAnsi="Times New Roman" w:cs="Times New Roman"/>
          <w:sz w:val="20"/>
          <w:szCs w:val="20"/>
        </w:rPr>
        <w:t xml:space="preserve"> </w:t>
      </w:r>
    </w:p>
    <w:p w14:paraId="00442E39" w14:textId="2DF4FA2C" w:rsidR="0077421D" w:rsidRPr="0077421D" w:rsidRDefault="0077421D" w:rsidP="0064239D">
      <w:pPr>
        <w:jc w:val="both"/>
        <w:rPr>
          <w:rFonts w:ascii="Calibri" w:eastAsia="SimSun" w:hAnsi="Calibri" w:cs="Calibri"/>
          <w:i/>
          <w:color w:val="FF0000"/>
          <w:sz w:val="18"/>
          <w:szCs w:val="18"/>
          <w14:ligatures w14:val="none"/>
        </w:rPr>
      </w:pPr>
      <w:r w:rsidRPr="0077421D">
        <w:rPr>
          <w:rFonts w:ascii="Calibri" w:eastAsia="SimSun" w:hAnsi="Calibri" w:cs="Calibri"/>
          <w:i/>
          <w:color w:val="FF0000"/>
          <w:sz w:val="18"/>
          <w:szCs w:val="18"/>
          <w14:ligatures w14:val="none"/>
        </w:rPr>
        <w:t>Focus only on defining the evaluation criteria; evaluation/comparison of RAN-CN CP interface options to be done in Q2.</w:t>
      </w:r>
    </w:p>
    <w:p w14:paraId="35ABAF6C" w14:textId="1EC4FA29" w:rsidR="00FA7469" w:rsidRDefault="0064239D" w:rsidP="000F222F">
      <w:pPr>
        <w:jc w:val="both"/>
        <w:rPr>
          <w:rFonts w:ascii="Times New Roman" w:hAnsi="Times New Roman" w:cs="Times New Roman"/>
          <w:sz w:val="20"/>
          <w:szCs w:val="20"/>
          <w:lang w:val="en-GB"/>
        </w:rPr>
      </w:pPr>
      <w:r w:rsidRPr="0064239D">
        <w:rPr>
          <w:rFonts w:ascii="Times New Roman" w:hAnsi="Times New Roman" w:cs="Times New Roman"/>
          <w:sz w:val="20"/>
          <w:szCs w:val="20"/>
          <w:lang w:val="en-GB"/>
        </w:rPr>
        <w:t>This contribution discusses architectural and evaluation principles for the RAN3 task, taking into account the agreed 6G RAN architecture in TR 38.760-3</w:t>
      </w:r>
      <w:r w:rsidR="0077421D">
        <w:rPr>
          <w:rFonts w:ascii="Times New Roman" w:hAnsi="Times New Roman" w:cs="Times New Roman"/>
          <w:sz w:val="20"/>
          <w:szCs w:val="20"/>
          <w:lang w:val="en-GB"/>
        </w:rPr>
        <w:t xml:space="preserve"> [1]</w:t>
      </w:r>
      <w:r w:rsidRPr="0064239D">
        <w:rPr>
          <w:rFonts w:ascii="Times New Roman" w:hAnsi="Times New Roman" w:cs="Times New Roman"/>
          <w:sz w:val="20"/>
          <w:szCs w:val="20"/>
          <w:lang w:val="en-GB"/>
        </w:rPr>
        <w:t>, expected support of legacy 5G RAN–CN functions, and the need to accommodate different deployment environments, including cloud-based implementations.</w:t>
      </w:r>
    </w:p>
    <w:p w14:paraId="0302862A" w14:textId="312CF223" w:rsidR="00C339B0" w:rsidRDefault="00C339B0">
      <w:pPr>
        <w:pStyle w:val="Heading1"/>
        <w:rPr>
          <w:lang w:val="en-US"/>
        </w:rPr>
      </w:pPr>
      <w:r w:rsidRPr="00C339B0">
        <w:rPr>
          <w:lang w:val="en-US"/>
        </w:rPr>
        <w:t>Discussion</w:t>
      </w:r>
      <w:r w:rsidR="00E708B1">
        <w:rPr>
          <w:lang w:val="en-US"/>
        </w:rPr>
        <w:t xml:space="preserve"> </w:t>
      </w:r>
    </w:p>
    <w:p w14:paraId="626CA730" w14:textId="144A7A17"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t>With the agreement on the high-level 6G RAN architecture in TR 38.760-3</w:t>
      </w:r>
      <w:r>
        <w:rPr>
          <w:rFonts w:ascii="Times New Roman" w:hAnsi="Times New Roman" w:cs="Times New Roman"/>
          <w:sz w:val="20"/>
          <w:szCs w:val="20"/>
        </w:rPr>
        <w:t xml:space="preserve"> [1]</w:t>
      </w:r>
      <w:r w:rsidRPr="000F222F">
        <w:rPr>
          <w:rFonts w:ascii="Times New Roman" w:hAnsi="Times New Roman" w:cs="Times New Roman"/>
          <w:sz w:val="20"/>
          <w:szCs w:val="20"/>
        </w:rPr>
        <w:t>, the 6G RAN is considered, from a CN perspective, as a single type of logical RAN node. RAN–CN communication is therefore performed between distinct 6G RAN nodes, each controlling radio resources in a given geographical area, and distinct CN functions for 6G.</w:t>
      </w:r>
      <w:r>
        <w:rPr>
          <w:rFonts w:ascii="Times New Roman" w:hAnsi="Times New Roman" w:cs="Times New Roman"/>
          <w:sz w:val="20"/>
          <w:szCs w:val="20"/>
        </w:rPr>
        <w:t xml:space="preserve"> </w:t>
      </w:r>
      <w:r w:rsidRPr="000F222F">
        <w:rPr>
          <w:rFonts w:ascii="Times New Roman" w:hAnsi="Times New Roman" w:cs="Times New Roman"/>
          <w:sz w:val="20"/>
          <w:szCs w:val="20"/>
        </w:rPr>
        <w:t>For UE-related communication, logical communication entities (e.g. UE contexts) are established between a specific RAN node and a specific CN function and are maintained for as long as the UE consumes radio resources, including connected and relevant power-saving states. The corresponding procedures are specific to the RAN–CN interface and are not intended for reuse on other interfaces.</w:t>
      </w:r>
    </w:p>
    <w:p w14:paraId="7F4139A9" w14:textId="48A07AB2"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1: Irrespective of whether the RAN–CN CP interface is specified using elementary procedures (P2P) or services (SBI), the functional and logical nature of RAN–CN communication is inherently point-to-point.</w:t>
      </w:r>
    </w:p>
    <w:p w14:paraId="7095315A" w14:textId="67EA5F06" w:rsid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t xml:space="preserve">RAN3 has also agreed that the 6G RAN architecture and interfaces shall support different implementation environments, including dedicated hardware, virtualized, and cloud-based deployments. In such environments, assumptions used in legacy NG-C design </w:t>
      </w:r>
      <w:r>
        <w:rPr>
          <w:rFonts w:ascii="Times New Roman" w:hAnsi="Times New Roman" w:cs="Times New Roman"/>
          <w:sz w:val="20"/>
          <w:szCs w:val="20"/>
        </w:rPr>
        <w:t xml:space="preserve">- </w:t>
      </w:r>
      <w:r w:rsidRPr="000F222F">
        <w:rPr>
          <w:rFonts w:ascii="Times New Roman" w:hAnsi="Times New Roman" w:cs="Times New Roman"/>
          <w:sz w:val="20"/>
          <w:szCs w:val="20"/>
        </w:rPr>
        <w:t>such as co-location of transport</w:t>
      </w:r>
      <w:r>
        <w:rPr>
          <w:rFonts w:ascii="Times New Roman" w:hAnsi="Times New Roman" w:cs="Times New Roman"/>
          <w:sz w:val="20"/>
          <w:szCs w:val="20"/>
        </w:rPr>
        <w:t xml:space="preserve"> </w:t>
      </w:r>
      <w:r w:rsidRPr="000F222F">
        <w:rPr>
          <w:rFonts w:ascii="Times New Roman" w:hAnsi="Times New Roman" w:cs="Times New Roman"/>
          <w:sz w:val="20"/>
          <w:szCs w:val="20"/>
        </w:rPr>
        <w:t>- and application-layer termination or derivation of peer identity from transport-layer information—may not always hold.</w:t>
      </w:r>
      <w:r>
        <w:rPr>
          <w:rFonts w:ascii="Times New Roman" w:hAnsi="Times New Roman" w:cs="Times New Roman"/>
          <w:sz w:val="20"/>
          <w:szCs w:val="20"/>
        </w:rPr>
        <w:t xml:space="preserve"> </w:t>
      </w:r>
      <w:r w:rsidRPr="000F222F">
        <w:rPr>
          <w:rFonts w:ascii="Times New Roman" w:hAnsi="Times New Roman" w:cs="Times New Roman"/>
          <w:sz w:val="20"/>
          <w:szCs w:val="20"/>
        </w:rPr>
        <w:t>Cloud-native deployments may involve security proxies, load balancers, or dynamic relocation of function instances, and may also allow multiple logical CN entities to interact with the same RAN node using a common set of procedures, subject to appropriate authorization.</w:t>
      </w:r>
    </w:p>
    <w:p w14:paraId="583F190A" w14:textId="35896FB8" w:rsidR="0004483A" w:rsidRPr="0004483A" w:rsidRDefault="00345E62" w:rsidP="0004483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4483A">
        <w:rPr>
          <w:rFonts w:ascii="Times New Roman" w:hAnsi="Times New Roman" w:cs="Times New Roman"/>
          <w:sz w:val="20"/>
          <w:szCs w:val="20"/>
        </w:rPr>
        <w:t>Cloud-native</w:t>
      </w:r>
      <w:r w:rsidR="0004483A" w:rsidRPr="0004483A">
        <w:rPr>
          <w:rFonts w:ascii="Times New Roman" w:hAnsi="Times New Roman" w:cs="Times New Roman"/>
          <w:sz w:val="20"/>
          <w:szCs w:val="20"/>
        </w:rPr>
        <w:t xml:space="preserve"> deployments may involve:</w:t>
      </w:r>
    </w:p>
    <w:p w14:paraId="0A6FADA9" w14:textId="77777777" w:rsidR="0004483A" w:rsidRPr="0004483A" w:rsidRDefault="0004483A" w:rsidP="00140660">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04483A">
        <w:rPr>
          <w:rFonts w:ascii="Times New Roman" w:hAnsi="Times New Roman" w:cs="Times New Roman"/>
          <w:sz w:val="20"/>
          <w:szCs w:val="20"/>
          <w:lang w:val="en-US"/>
        </w:rPr>
        <w:t xml:space="preserve">Decoupling of transport-layer and application-layer termination points (e.g. use of security proxies or load balancers), </w:t>
      </w:r>
    </w:p>
    <w:p w14:paraId="412B4089" w14:textId="77777777" w:rsidR="0004483A" w:rsidRPr="0004483A" w:rsidRDefault="0004483A" w:rsidP="0001790A">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04483A">
        <w:rPr>
          <w:rFonts w:ascii="Times New Roman" w:hAnsi="Times New Roman" w:cs="Times New Roman"/>
          <w:sz w:val="20"/>
          <w:szCs w:val="20"/>
          <w:lang w:val="en-US"/>
        </w:rPr>
        <w:t xml:space="preserve">Dynamic addressing and relocation of function instances, </w:t>
      </w:r>
    </w:p>
    <w:p w14:paraId="3C7D781F" w14:textId="1FA968EE" w:rsidR="0004483A" w:rsidRPr="0004483A" w:rsidRDefault="0004483A" w:rsidP="0001790A">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04483A">
        <w:rPr>
          <w:rFonts w:ascii="Times New Roman" w:hAnsi="Times New Roman" w:cs="Times New Roman"/>
          <w:sz w:val="20"/>
          <w:szCs w:val="20"/>
          <w:lang w:val="en-US"/>
        </w:rPr>
        <w:t>Multiple logical CN entities interacting with the same RAN node using a common set of procedures, subject to authorization.</w:t>
      </w:r>
    </w:p>
    <w:p w14:paraId="0B4FF43B" w14:textId="7E1AB5CA"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2: While RAN–CN communication remains logically point-to-point, the interface design should not unnecessarily constrain deployment or implementation choices, nor preclude controlled usage of RAN–CN procedures by multiple CN entities where applicable.</w:t>
      </w:r>
    </w:p>
    <w:p w14:paraId="1AE4E13F" w14:textId="77777777"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t>Given the study timeline, it is expected that the evaluation of “P2P vs SBI” will primarily be based on the set of 5G legacy RAN–CN functions foreseen to be supported in 6G.</w:t>
      </w:r>
    </w:p>
    <w:p w14:paraId="049266A2" w14:textId="2B004242"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3: The comparison of RAN–CN CP interface options in Q1/Q2 2026 will mainly rely on 5G legacy RAN–CN functions, as the architecture for new 6G-specific features is not yet mature.</w:t>
      </w:r>
    </w:p>
    <w:p w14:paraId="39660163" w14:textId="77777777"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lastRenderedPageBreak/>
        <w:t>It is therefore relevant to consider to what extent existing 5G RAN–CN interface communication functions and deployments can be leveraged for 6G with an acceptable level of adaptation.</w:t>
      </w:r>
    </w:p>
    <w:p w14:paraId="0DE36D18" w14:textId="256995C5" w:rsidR="000F222F" w:rsidRPr="0004483A"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4483A">
        <w:rPr>
          <w:rFonts w:ascii="Times New Roman" w:hAnsi="Times New Roman" w:cs="Times New Roman"/>
          <w:b/>
          <w:bCs/>
          <w:sz w:val="20"/>
          <w:szCs w:val="20"/>
        </w:rPr>
        <w:t>Observation 4:</w:t>
      </w:r>
      <w:r w:rsidR="0004483A" w:rsidRPr="0004483A">
        <w:rPr>
          <w:rFonts w:ascii="Times New Roman" w:hAnsi="Times New Roman" w:cs="Times New Roman"/>
          <w:b/>
          <w:bCs/>
          <w:sz w:val="20"/>
          <w:szCs w:val="20"/>
        </w:rPr>
        <w:t xml:space="preserve"> </w:t>
      </w:r>
      <w:r w:rsidRPr="0004483A">
        <w:rPr>
          <w:rFonts w:ascii="Times New Roman" w:hAnsi="Times New Roman" w:cs="Times New Roman"/>
          <w:b/>
          <w:bCs/>
          <w:sz w:val="20"/>
          <w:szCs w:val="20"/>
        </w:rPr>
        <w:t>The ability to leverage existing 5G RAN–CN interface communication functions and deployments is expected to be an important factor for the evaluation of candidate 6G RAN–CN CP interface options.</w:t>
      </w:r>
    </w:p>
    <w:p w14:paraId="6B6A1BB3" w14:textId="3DD9CCBD" w:rsidR="000F222F" w:rsidRDefault="000F222F" w:rsidP="001538A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t xml:space="preserve">In addition, overall </w:t>
      </w:r>
      <w:r w:rsidR="00D54FA5" w:rsidRPr="000F222F">
        <w:rPr>
          <w:rFonts w:ascii="Times New Roman" w:hAnsi="Times New Roman" w:cs="Times New Roman"/>
          <w:sz w:val="20"/>
          <w:szCs w:val="20"/>
        </w:rPr>
        <w:t>signaling</w:t>
      </w:r>
      <w:r w:rsidRPr="000F222F">
        <w:rPr>
          <w:rFonts w:ascii="Times New Roman" w:hAnsi="Times New Roman" w:cs="Times New Roman"/>
          <w:sz w:val="20"/>
          <w:szCs w:val="20"/>
        </w:rPr>
        <w:t xml:space="preserve"> overhead, processing cost, and performance implications should be assessed, taking into account realistic deployment scenarios.</w:t>
      </w:r>
    </w:p>
    <w:p w14:paraId="7C9AF841" w14:textId="77777777" w:rsidR="00D54FA5" w:rsidRPr="00D54FA5" w:rsidRDefault="00D54FA5" w:rsidP="00D54FA5">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D54FA5">
        <w:rPr>
          <w:rFonts w:ascii="Times New Roman" w:hAnsi="Times New Roman" w:cs="Times New Roman"/>
          <w:b/>
          <w:bCs/>
          <w:sz w:val="20"/>
          <w:szCs w:val="20"/>
        </w:rPr>
        <w:t>Observation 5: For the interim milestone, there is no need to reach a final agreement on the detailed protocol stack, provided that sufficient information is available to support a decision on “P2P vs SBI”.</w:t>
      </w:r>
    </w:p>
    <w:p w14:paraId="246F04BD" w14:textId="0216F2EA" w:rsidR="002D30C2" w:rsidRDefault="00345E62">
      <w:pPr>
        <w:pStyle w:val="Heading1"/>
      </w:pPr>
      <w:r w:rsidRPr="00345E62">
        <w:t>Evaluation Aspects for P2P vs SBI</w:t>
      </w:r>
    </w:p>
    <w:p w14:paraId="098B060E" w14:textId="07968188" w:rsidR="00345E62" w:rsidRDefault="00345E62"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 xml:space="preserve">Based on the above discussion, </w:t>
      </w:r>
      <w:r w:rsidR="00D54FA5">
        <w:rPr>
          <w:rFonts w:ascii="Times New Roman" w:hAnsi="Times New Roman" w:cs="Times New Roman"/>
          <w:sz w:val="20"/>
          <w:szCs w:val="20"/>
        </w:rPr>
        <w:t xml:space="preserve">many </w:t>
      </w:r>
      <w:r w:rsidRPr="00345E62">
        <w:rPr>
          <w:rFonts w:ascii="Times New Roman" w:hAnsi="Times New Roman" w:cs="Times New Roman"/>
          <w:sz w:val="20"/>
          <w:szCs w:val="20"/>
        </w:rPr>
        <w:t>aspects are considered relevant for the evaluation of candidate 6G RAN–CN CP interface options</w:t>
      </w:r>
      <w:r w:rsidR="00D54FA5">
        <w:rPr>
          <w:rFonts w:ascii="Times New Roman" w:hAnsi="Times New Roman" w:cs="Times New Roman"/>
          <w:sz w:val="20"/>
          <w:szCs w:val="20"/>
        </w:rPr>
        <w:t xml:space="preserve">. </w:t>
      </w:r>
      <w:r w:rsidRPr="00345E62">
        <w:rPr>
          <w:rFonts w:ascii="Times New Roman" w:hAnsi="Times New Roman" w:cs="Times New Roman"/>
          <w:sz w:val="20"/>
          <w:szCs w:val="20"/>
        </w:rPr>
        <w:t>The evaluation should assume, as a common baseline, that RAN–CN communication is logically point-to-point, irrespective of whether procedures or services are used at the application layer. SBI-based designs should therefore be evaluated under the constraint that they support explicit RAN node to CN function communication, including UE-context anchoring and lifecycle handling.</w:t>
      </w:r>
    </w:p>
    <w:p w14:paraId="03A49A98" w14:textId="77777777" w:rsidR="00D54FA5" w:rsidRPr="00404961" w:rsidRDefault="00D54FA5" w:rsidP="00D54FA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1: Agree that, as a common baseline for the evaluation, RAN–CN communication is logically point-to-point, irrespective of whether the interface is specified using P2P-style procedures or SBI-style services</w:t>
      </w:r>
      <w:r w:rsidRPr="00404961">
        <w:rPr>
          <w:rFonts w:ascii="Times New Roman" w:hAnsi="Times New Roman" w:cs="Times New Roman"/>
          <w:sz w:val="20"/>
          <w:szCs w:val="20"/>
        </w:rPr>
        <w:t>.</w:t>
      </w:r>
    </w:p>
    <w:p w14:paraId="4FDE51CB" w14:textId="77777777" w:rsidR="00345E62" w:rsidRDefault="00345E62"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Given the expected timeline of the study, the comparison will primarily rely on the set of 5G legacy RAN–CN functions foreseen to be supported in 6G. The ability to leverage existing NG-C communication functions and deployments, with an acceptable level of adaptation, should be considered a major evaluation criterion.</w:t>
      </w:r>
    </w:p>
    <w:p w14:paraId="63F61C2E" w14:textId="77777777" w:rsidR="00D54FA5" w:rsidRPr="00404961" w:rsidRDefault="00D54FA5" w:rsidP="00D54FA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2: Introduce “leveraging of existing 5G RAN–CN interface communication functions and deployments for 6G” as a major evaluation criterion</w:t>
      </w:r>
      <w:r w:rsidRPr="00404961">
        <w:rPr>
          <w:rFonts w:ascii="Times New Roman" w:hAnsi="Times New Roman" w:cs="Times New Roman"/>
          <w:sz w:val="20"/>
          <w:szCs w:val="20"/>
        </w:rPr>
        <w:t>.</w:t>
      </w:r>
    </w:p>
    <w:p w14:paraId="18872BD5" w14:textId="2A761AA4" w:rsidR="00345E62" w:rsidRPr="00345E62" w:rsidRDefault="00844A23"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Moreover, c</w:t>
      </w:r>
      <w:r w:rsidR="00345E62" w:rsidRPr="00345E62">
        <w:rPr>
          <w:rFonts w:ascii="Times New Roman" w:hAnsi="Times New Roman" w:cs="Times New Roman"/>
          <w:sz w:val="20"/>
          <w:szCs w:val="20"/>
        </w:rPr>
        <w:t>andidate interface options should be evaluated with respect to their ability to support:</w:t>
      </w:r>
    </w:p>
    <w:p w14:paraId="2E8AAEF8" w14:textId="77777777" w:rsidR="00404961" w:rsidRPr="00404961" w:rsidRDefault="00345E62" w:rsidP="003630F0">
      <w:pPr>
        <w:pStyle w:val="ListParagraph"/>
        <w:numPr>
          <w:ilvl w:val="0"/>
          <w:numId w:val="52"/>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Dedicated hardware and cloud-based implementations,</w:t>
      </w:r>
      <w:r w:rsidR="00404961" w:rsidRPr="00404961">
        <w:rPr>
          <w:rFonts w:ascii="Times New Roman" w:hAnsi="Times New Roman" w:cs="Times New Roman"/>
          <w:sz w:val="20"/>
          <w:szCs w:val="20"/>
          <w:lang w:val="en-US"/>
        </w:rPr>
        <w:t xml:space="preserve"> </w:t>
      </w:r>
    </w:p>
    <w:p w14:paraId="648DCC73" w14:textId="77777777" w:rsidR="00404961" w:rsidRPr="00404961" w:rsidRDefault="00345E62" w:rsidP="00C71AFE">
      <w:pPr>
        <w:pStyle w:val="ListParagraph"/>
        <w:numPr>
          <w:ilvl w:val="0"/>
          <w:numId w:val="52"/>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Use of L4/L7 firewalls, security proxies, and load balancers,</w:t>
      </w:r>
      <w:r w:rsidR="00404961" w:rsidRPr="00404961">
        <w:rPr>
          <w:rFonts w:ascii="Times New Roman" w:hAnsi="Times New Roman" w:cs="Times New Roman"/>
          <w:sz w:val="20"/>
          <w:szCs w:val="20"/>
          <w:lang w:val="en-US"/>
        </w:rPr>
        <w:t xml:space="preserve"> </w:t>
      </w:r>
    </w:p>
    <w:p w14:paraId="306E588C" w14:textId="77777777" w:rsidR="00404961" w:rsidRPr="00404961" w:rsidRDefault="00345E62" w:rsidP="002866B1">
      <w:pPr>
        <w:pStyle w:val="ListParagraph"/>
        <w:numPr>
          <w:ilvl w:val="0"/>
          <w:numId w:val="52"/>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Separation of transport- and application-layer termination,</w:t>
      </w:r>
      <w:r w:rsidR="00404961" w:rsidRPr="00404961">
        <w:rPr>
          <w:rFonts w:ascii="Times New Roman" w:hAnsi="Times New Roman" w:cs="Times New Roman"/>
          <w:sz w:val="20"/>
          <w:szCs w:val="20"/>
          <w:lang w:val="en-US"/>
        </w:rPr>
        <w:t xml:space="preserve"> </w:t>
      </w:r>
    </w:p>
    <w:p w14:paraId="5944AF39" w14:textId="2A3E3B1C" w:rsidR="00345E62" w:rsidRPr="00404961" w:rsidRDefault="00345E62" w:rsidP="002866B1">
      <w:pPr>
        <w:pStyle w:val="ListParagraph"/>
        <w:numPr>
          <w:ilvl w:val="0"/>
          <w:numId w:val="52"/>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Dynamic addressing using mechanisms such as FQDN resolution.</w:t>
      </w:r>
    </w:p>
    <w:p w14:paraId="6AEB8DF3" w14:textId="511BCC6E" w:rsidR="00345E62" w:rsidRDefault="00345E62"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This includes the ability to explicitly signal peer identity and reachability at the application layer, rather than relying solely on transport-layer information.</w:t>
      </w:r>
    </w:p>
    <w:p w14:paraId="73D87D27"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3: Introduce “support of different deployment environments, including cloud-based implementations with separation of transport- and application-layer termination” as a major evaluation criterion</w:t>
      </w:r>
      <w:r w:rsidRPr="00404961">
        <w:rPr>
          <w:rFonts w:ascii="Times New Roman" w:hAnsi="Times New Roman" w:cs="Times New Roman"/>
          <w:sz w:val="20"/>
          <w:szCs w:val="20"/>
        </w:rPr>
        <w:t>.</w:t>
      </w:r>
    </w:p>
    <w:p w14:paraId="29294CEF" w14:textId="217451D5" w:rsidR="00345E62" w:rsidRPr="00345E62" w:rsidRDefault="00345E62"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 xml:space="preserve">The evaluation should </w:t>
      </w:r>
      <w:r w:rsidR="00844A23">
        <w:rPr>
          <w:rFonts w:ascii="Times New Roman" w:hAnsi="Times New Roman" w:cs="Times New Roman"/>
          <w:sz w:val="20"/>
          <w:szCs w:val="20"/>
        </w:rPr>
        <w:t xml:space="preserve">furthermore </w:t>
      </w:r>
      <w:r w:rsidRPr="00345E62">
        <w:rPr>
          <w:rFonts w:ascii="Times New Roman" w:hAnsi="Times New Roman" w:cs="Times New Roman"/>
          <w:sz w:val="20"/>
          <w:szCs w:val="20"/>
        </w:rPr>
        <w:t>consider whether the interface option supports authentication and authorization mechanisms that allow:</w:t>
      </w:r>
    </w:p>
    <w:p w14:paraId="2A642DC7" w14:textId="77777777" w:rsidR="00404961" w:rsidRPr="00404961" w:rsidRDefault="00345E62" w:rsidP="00620718">
      <w:pPr>
        <w:pStyle w:val="ListParagraph"/>
        <w:numPr>
          <w:ilvl w:val="0"/>
          <w:numId w:val="5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Verification of the peer entity,</w:t>
      </w:r>
      <w:r w:rsidR="00404961" w:rsidRPr="00404961">
        <w:rPr>
          <w:rFonts w:ascii="Times New Roman" w:hAnsi="Times New Roman" w:cs="Times New Roman"/>
          <w:sz w:val="20"/>
          <w:szCs w:val="20"/>
          <w:lang w:val="en-US"/>
        </w:rPr>
        <w:t xml:space="preserve"> </w:t>
      </w:r>
    </w:p>
    <w:p w14:paraId="6579EE1A" w14:textId="11741DD6" w:rsidR="00345E62" w:rsidRDefault="00345E62" w:rsidP="00D45409">
      <w:pPr>
        <w:pStyle w:val="ListParagraph"/>
        <w:numPr>
          <w:ilvl w:val="0"/>
          <w:numId w:val="5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Controlled use of RAN–CN procedures by one or multiple CN entities, when applicable,</w:t>
      </w:r>
      <w:r w:rsidR="00404961" w:rsidRPr="00404961">
        <w:rPr>
          <w:rFonts w:ascii="Times New Roman" w:hAnsi="Times New Roman" w:cs="Times New Roman"/>
          <w:sz w:val="20"/>
          <w:szCs w:val="20"/>
          <w:lang w:val="en-US"/>
        </w:rPr>
        <w:t xml:space="preserve"> </w:t>
      </w:r>
      <w:r w:rsidRPr="00404961">
        <w:rPr>
          <w:rFonts w:ascii="Times New Roman" w:hAnsi="Times New Roman" w:cs="Times New Roman"/>
          <w:sz w:val="20"/>
          <w:szCs w:val="20"/>
          <w:lang w:val="en-US"/>
        </w:rPr>
        <w:t>without compromising security or architectural clarity.</w:t>
      </w:r>
    </w:p>
    <w:p w14:paraId="7C497512"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4: Evaluate whether candidate interface options support authentication and authorization mechanisms that allow verification of peer entities and controlled use of RAN–CN procedures, including cases where multiple CN entities may use a common set of procedures</w:t>
      </w:r>
      <w:r w:rsidRPr="00404961">
        <w:rPr>
          <w:rFonts w:ascii="Times New Roman" w:hAnsi="Times New Roman" w:cs="Times New Roman"/>
          <w:sz w:val="20"/>
          <w:szCs w:val="20"/>
        </w:rPr>
        <w:t>.</w:t>
      </w:r>
    </w:p>
    <w:p w14:paraId="7D361379" w14:textId="01287B3C" w:rsidR="00345E62" w:rsidRDefault="00345E62"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 xml:space="preserve">Overall </w:t>
      </w:r>
      <w:r w:rsidR="00404961" w:rsidRPr="00345E62">
        <w:rPr>
          <w:rFonts w:ascii="Times New Roman" w:hAnsi="Times New Roman" w:cs="Times New Roman"/>
          <w:sz w:val="20"/>
          <w:szCs w:val="20"/>
        </w:rPr>
        <w:t>signaling</w:t>
      </w:r>
      <w:r w:rsidRPr="00345E62">
        <w:rPr>
          <w:rFonts w:ascii="Times New Roman" w:hAnsi="Times New Roman" w:cs="Times New Roman"/>
          <w:sz w:val="20"/>
          <w:szCs w:val="20"/>
        </w:rPr>
        <w:t xml:space="preserve"> overhead, processing cost, and performance implications for both RAN and CN should be </w:t>
      </w:r>
      <w:r w:rsidR="00844A23">
        <w:rPr>
          <w:rFonts w:ascii="Times New Roman" w:hAnsi="Times New Roman" w:cs="Times New Roman"/>
          <w:sz w:val="20"/>
          <w:szCs w:val="20"/>
        </w:rPr>
        <w:t xml:space="preserve">also </w:t>
      </w:r>
      <w:r w:rsidRPr="00345E62">
        <w:rPr>
          <w:rFonts w:ascii="Times New Roman" w:hAnsi="Times New Roman" w:cs="Times New Roman"/>
          <w:sz w:val="20"/>
          <w:szCs w:val="20"/>
        </w:rPr>
        <w:t xml:space="preserve">included as major evaluation criteria, </w:t>
      </w:r>
      <w:r w:rsidR="00D54FA5" w:rsidRPr="00345E62">
        <w:rPr>
          <w:rFonts w:ascii="Times New Roman" w:hAnsi="Times New Roman" w:cs="Times New Roman"/>
          <w:sz w:val="20"/>
          <w:szCs w:val="20"/>
        </w:rPr>
        <w:t>considering</w:t>
      </w:r>
      <w:r w:rsidRPr="00345E62">
        <w:rPr>
          <w:rFonts w:ascii="Times New Roman" w:hAnsi="Times New Roman" w:cs="Times New Roman"/>
          <w:sz w:val="20"/>
          <w:szCs w:val="20"/>
        </w:rPr>
        <w:t xml:space="preserve"> realistic deployment scenarios.</w:t>
      </w:r>
    </w:p>
    <w:p w14:paraId="5AD97415" w14:textId="1E621DC5" w:rsidR="00404961" w:rsidRPr="00404961" w:rsidRDefault="00404961" w:rsidP="0040496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 xml:space="preserve">Proposal 5: Introduce “overall </w:t>
      </w:r>
      <w:r w:rsidR="00C853A2" w:rsidRPr="00D54FA5">
        <w:rPr>
          <w:rFonts w:ascii="Times New Roman" w:hAnsi="Times New Roman" w:cs="Times New Roman"/>
          <w:b/>
          <w:bCs/>
          <w:sz w:val="20"/>
          <w:szCs w:val="20"/>
        </w:rPr>
        <w:t>signaling</w:t>
      </w:r>
      <w:r w:rsidRPr="00D54FA5">
        <w:rPr>
          <w:rFonts w:ascii="Times New Roman" w:hAnsi="Times New Roman" w:cs="Times New Roman"/>
          <w:b/>
          <w:bCs/>
          <w:sz w:val="20"/>
          <w:szCs w:val="20"/>
        </w:rPr>
        <w:t xml:space="preserve"> and processing cost and performance” as a major evaluation criterion for the comparison of P2P and SBI options</w:t>
      </w:r>
      <w:r w:rsidRPr="00404961">
        <w:rPr>
          <w:rFonts w:ascii="Times New Roman" w:hAnsi="Times New Roman" w:cs="Times New Roman"/>
          <w:sz w:val="20"/>
          <w:szCs w:val="20"/>
        </w:rPr>
        <w:t>.</w:t>
      </w:r>
      <w:r w:rsidR="00844A23">
        <w:rPr>
          <w:rFonts w:ascii="Times New Roman" w:hAnsi="Times New Roman" w:cs="Times New Roman"/>
          <w:sz w:val="20"/>
          <w:szCs w:val="20"/>
        </w:rPr>
        <w:t xml:space="preserve"> </w:t>
      </w:r>
    </w:p>
    <w:p w14:paraId="779B5D18" w14:textId="5F977C1D" w:rsidR="00C339B0" w:rsidRDefault="00C339B0" w:rsidP="00C339B0">
      <w:pPr>
        <w:pStyle w:val="Heading1"/>
        <w:rPr>
          <w:lang w:val="en-US"/>
        </w:rPr>
      </w:pPr>
      <w:r>
        <w:rPr>
          <w:lang w:val="en-US"/>
        </w:rPr>
        <w:lastRenderedPageBreak/>
        <w:t>Conclusion</w:t>
      </w:r>
    </w:p>
    <w:bookmarkEnd w:id="2"/>
    <w:p w14:paraId="788CF130" w14:textId="0BF7007A" w:rsidR="00345E62" w:rsidRPr="00345E62" w:rsidRDefault="00345E62" w:rsidP="00345E62">
      <w:p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RAN–CN communication in 6G is, by its nature, logically point-to-point, independent of whether the interface is specified using P2P-style elementary procedures or SBI-style services. This observation provides a stable baseline for evaluating candidate interface options.</w:t>
      </w:r>
      <w:r>
        <w:rPr>
          <w:rFonts w:ascii="Times New Roman" w:hAnsi="Times New Roman" w:cs="Times New Roman"/>
          <w:sz w:val="20"/>
          <w:szCs w:val="20"/>
          <w:lang w:val="en-GB"/>
        </w:rPr>
        <w:t xml:space="preserve"> </w:t>
      </w:r>
      <w:r w:rsidRPr="00345E62">
        <w:rPr>
          <w:rFonts w:ascii="Times New Roman" w:hAnsi="Times New Roman" w:cs="Times New Roman"/>
          <w:sz w:val="20"/>
          <w:szCs w:val="20"/>
          <w:lang w:val="en-GB"/>
        </w:rPr>
        <w:t>At the same time, the 6G RAN–CN CP interface should be designed in a future-proof manner, avoiding unnecessary constraints derived from legacy deployment assumptions and enabling efficient realization in cloud-native environments.</w:t>
      </w:r>
    </w:p>
    <w:p w14:paraId="520DB546" w14:textId="77777777" w:rsidR="00345E62" w:rsidRPr="00345E62" w:rsidRDefault="00345E62" w:rsidP="00345E62">
      <w:p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The evaluation of “P2P vs SBI” should therefore focus on:</w:t>
      </w:r>
    </w:p>
    <w:p w14:paraId="78B06884" w14:textId="77777777" w:rsidR="00345E62" w:rsidRDefault="00345E62" w:rsidP="000B1D19">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 xml:space="preserve">Preservation of the logical point-to-point communication model, </w:t>
      </w:r>
    </w:p>
    <w:p w14:paraId="5D5653B7" w14:textId="77777777" w:rsidR="00345E62" w:rsidRDefault="00345E62" w:rsidP="00CF0BE7">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 xml:space="preserve">Ability to leverage existing 5G RAN–CN functions, </w:t>
      </w:r>
    </w:p>
    <w:p w14:paraId="7CFC3884" w14:textId="77777777" w:rsidR="00345E62" w:rsidRDefault="00345E62" w:rsidP="007E67B1">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 xml:space="preserve">Deployment flexibility and cloud compatibility, </w:t>
      </w:r>
    </w:p>
    <w:p w14:paraId="1A6D0820" w14:textId="77777777" w:rsidR="00345E62" w:rsidRDefault="00345E62" w:rsidP="00F02EFA">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 xml:space="preserve">Support for secure and authorized procedure usage, </w:t>
      </w:r>
    </w:p>
    <w:p w14:paraId="0AB68A7C" w14:textId="72A76225" w:rsidR="00345E62" w:rsidRPr="00345E62" w:rsidRDefault="00345E62" w:rsidP="00F02EFA">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Overall signalling and performance efficiency.</w:t>
      </w:r>
    </w:p>
    <w:p w14:paraId="17EB8054" w14:textId="77777777" w:rsidR="00345E62" w:rsidRPr="00345E62" w:rsidRDefault="00345E62" w:rsidP="00345E62">
      <w:pPr>
        <w:jc w:val="both"/>
        <w:rPr>
          <w:rFonts w:ascii="Times New Roman" w:hAnsi="Times New Roman" w:cs="Times New Roman"/>
          <w:sz w:val="20"/>
          <w:szCs w:val="20"/>
          <w:lang w:val="en-GB"/>
        </w:rPr>
      </w:pPr>
    </w:p>
    <w:p w14:paraId="2E7FF26C" w14:textId="40A6E2B8" w:rsidR="00345E62" w:rsidRDefault="00345E62" w:rsidP="00345E62">
      <w:p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These principles can guide RAN3 towards providing meaningful interim study results to TSGs for the upcoming milestone, without requiring early convergence on detailed protocol stack decisions.</w:t>
      </w:r>
    </w:p>
    <w:p w14:paraId="44F9171B" w14:textId="77777777" w:rsidR="00844A23" w:rsidRPr="000F222F"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1: Irrespective of whether the RAN–CN CP interface is specified using elementary procedures (P2P) or services (SBI), the functional and logical nature of RAN–CN communication is inherently point-to-point.</w:t>
      </w:r>
    </w:p>
    <w:p w14:paraId="211DB111" w14:textId="77777777" w:rsidR="00844A23" w:rsidRPr="000F222F"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2: While RAN–CN communication remains logically point-to-point, the interface design should not unnecessarily constrain deployment or implementation choices, nor preclude controlled usage of RAN–CN procedures by multiple CN entities where applicable.</w:t>
      </w:r>
    </w:p>
    <w:p w14:paraId="2EB60C74" w14:textId="77777777" w:rsidR="00844A23" w:rsidRPr="000F222F"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3: The comparison of RAN–CN CP interface options in Q1/Q2 2026 will mainly rely on 5G legacy RAN–CN functions, as the architecture for new 6G-specific features is not yet mature.</w:t>
      </w:r>
    </w:p>
    <w:p w14:paraId="767C8F3A" w14:textId="77777777" w:rsidR="00844A23" w:rsidRPr="0004483A"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4483A">
        <w:rPr>
          <w:rFonts w:ascii="Times New Roman" w:hAnsi="Times New Roman" w:cs="Times New Roman"/>
          <w:b/>
          <w:bCs/>
          <w:sz w:val="20"/>
          <w:szCs w:val="20"/>
        </w:rPr>
        <w:t>Observation 4: The ability to leverage existing 5G RAN–CN interface communication functions and deployments is expected to be an important factor for the evaluation of candidate 6G RAN–CN CP interface options.</w:t>
      </w:r>
    </w:p>
    <w:p w14:paraId="58CEC0E7" w14:textId="77777777" w:rsidR="00844A23" w:rsidRPr="00D54FA5"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D54FA5">
        <w:rPr>
          <w:rFonts w:ascii="Times New Roman" w:hAnsi="Times New Roman" w:cs="Times New Roman"/>
          <w:b/>
          <w:bCs/>
          <w:sz w:val="20"/>
          <w:szCs w:val="20"/>
        </w:rPr>
        <w:t>Observation 5: For the interim milestone, there is no need to reach a final agreement on the detailed protocol stack, provided that sufficient information is available to support a decision on “P2P vs SBI”.</w:t>
      </w:r>
    </w:p>
    <w:p w14:paraId="78A6B748"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1: Agree that, as a common baseline for the evaluation, RAN–CN communication is logically point-to-point, irrespective of whether the interface is specified using P2P-style procedures or SBI-style services</w:t>
      </w:r>
      <w:r w:rsidRPr="00404961">
        <w:rPr>
          <w:rFonts w:ascii="Times New Roman" w:hAnsi="Times New Roman" w:cs="Times New Roman"/>
          <w:sz w:val="20"/>
          <w:szCs w:val="20"/>
        </w:rPr>
        <w:t>.</w:t>
      </w:r>
    </w:p>
    <w:p w14:paraId="53EC89E5"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2: Introduce “leveraging of existing 5G RAN–CN interface communication functions and deployments for 6G” as a major evaluation criterion</w:t>
      </w:r>
      <w:r w:rsidRPr="00404961">
        <w:rPr>
          <w:rFonts w:ascii="Times New Roman" w:hAnsi="Times New Roman" w:cs="Times New Roman"/>
          <w:sz w:val="20"/>
          <w:szCs w:val="20"/>
        </w:rPr>
        <w:t>.</w:t>
      </w:r>
    </w:p>
    <w:p w14:paraId="29FB0597"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3: Introduce “support of different deployment environments, including cloud-based implementations with separation of transport- and application-layer termination” as a major evaluation criterion</w:t>
      </w:r>
      <w:r w:rsidRPr="00404961">
        <w:rPr>
          <w:rFonts w:ascii="Times New Roman" w:hAnsi="Times New Roman" w:cs="Times New Roman"/>
          <w:sz w:val="20"/>
          <w:szCs w:val="20"/>
        </w:rPr>
        <w:t>.</w:t>
      </w:r>
    </w:p>
    <w:p w14:paraId="036A57DA"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4: Evaluate whether candidate interface options support authentication and authorization mechanisms that allow verification of peer entities and controlled use of RAN–CN procedures, including cases where multiple CN entities may use a common set of procedures</w:t>
      </w:r>
      <w:r w:rsidRPr="00404961">
        <w:rPr>
          <w:rFonts w:ascii="Times New Roman" w:hAnsi="Times New Roman" w:cs="Times New Roman"/>
          <w:sz w:val="20"/>
          <w:szCs w:val="20"/>
        </w:rPr>
        <w:t>.</w:t>
      </w:r>
    </w:p>
    <w:p w14:paraId="4DCB2A20" w14:textId="2BFC49C8"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 xml:space="preserve">Proposal 5: Introduce “overall </w:t>
      </w:r>
      <w:r w:rsidR="00C853A2" w:rsidRPr="00D54FA5">
        <w:rPr>
          <w:rFonts w:ascii="Times New Roman" w:hAnsi="Times New Roman" w:cs="Times New Roman"/>
          <w:b/>
          <w:bCs/>
          <w:sz w:val="20"/>
          <w:szCs w:val="20"/>
        </w:rPr>
        <w:t>signaling</w:t>
      </w:r>
      <w:r w:rsidRPr="00D54FA5">
        <w:rPr>
          <w:rFonts w:ascii="Times New Roman" w:hAnsi="Times New Roman" w:cs="Times New Roman"/>
          <w:b/>
          <w:bCs/>
          <w:sz w:val="20"/>
          <w:szCs w:val="20"/>
        </w:rPr>
        <w:t xml:space="preserve"> and processing cost and performance” as a major evaluation criterion for the comparison of P2P and SBI options</w:t>
      </w:r>
      <w:r w:rsidRPr="00404961">
        <w:rPr>
          <w:rFonts w:ascii="Times New Roman" w:hAnsi="Times New Roman" w:cs="Times New Roman"/>
          <w:sz w:val="20"/>
          <w:szCs w:val="20"/>
        </w:rPr>
        <w:t>.</w:t>
      </w:r>
      <w:r>
        <w:rPr>
          <w:rFonts w:ascii="Times New Roman" w:hAnsi="Times New Roman" w:cs="Times New Roman"/>
          <w:sz w:val="20"/>
          <w:szCs w:val="20"/>
        </w:rPr>
        <w:t xml:space="preserve"> </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7F3B4D82" w14:textId="60DD8A18" w:rsidR="00E94E0D"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sidR="001538A4">
        <w:rPr>
          <w:rFonts w:ascii="Times New Roman" w:hAnsi="Times New Roman" w:cs="Times New Roman"/>
          <w:sz w:val="20"/>
          <w:szCs w:val="20"/>
        </w:rPr>
        <w:t>1</w:t>
      </w:r>
      <w:r w:rsidRPr="00713A17">
        <w:rPr>
          <w:rFonts w:ascii="Times New Roman" w:hAnsi="Times New Roman" w:cs="Times New Roman"/>
          <w:sz w:val="20"/>
          <w:szCs w:val="20"/>
        </w:rPr>
        <w:t xml:space="preserve">] </w:t>
      </w:r>
      <w:r w:rsidR="00270BE3">
        <w:rPr>
          <w:rFonts w:ascii="Times New Roman" w:hAnsi="Times New Roman" w:cs="Times New Roman"/>
          <w:sz w:val="20"/>
          <w:szCs w:val="20"/>
        </w:rPr>
        <w:t xml:space="preserve">3GPP TR 38 760 -3 </w:t>
      </w:r>
    </w:p>
    <w:p w14:paraId="2261CB00" w14:textId="0D984AB9" w:rsidR="00C73BDC" w:rsidRDefault="00C73BDC">
      <w:pPr>
        <w:pStyle w:val="Heading1"/>
      </w:pPr>
      <w:r>
        <w:t xml:space="preserve">ANNEX – </w:t>
      </w:r>
      <w:r w:rsidR="002913A3" w:rsidRPr="002913A3">
        <w:t>pCR for TR 38.760-3</w:t>
      </w:r>
    </w:p>
    <w:p w14:paraId="102F0121" w14:textId="2BD2CCF3" w:rsid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34AD5155" w14:textId="5D3961B4" w:rsidR="00F8466D" w:rsidRDefault="00F8466D" w:rsidP="00F8466D">
      <w:pPr>
        <w:pStyle w:val="Heading3"/>
        <w:numPr>
          <w:ilvl w:val="0"/>
          <w:numId w:val="0"/>
        </w:numPr>
        <w:ind w:left="720" w:hanging="720"/>
        <w:rPr>
          <w:rFonts w:ascii="Arial" w:eastAsia="Times New Roman" w:hAnsi="Arial"/>
        </w:rPr>
      </w:pPr>
      <w:bookmarkStart w:id="3" w:name="_Toc214968881"/>
      <w:r>
        <w:lastRenderedPageBreak/>
        <w:t>6.</w:t>
      </w:r>
      <w:r>
        <w:rPr>
          <w:lang w:val="en-US" w:eastAsia="zh-CN"/>
        </w:rPr>
        <w:t>1</w:t>
      </w:r>
      <w:r>
        <w:t xml:space="preserve">.4 </w:t>
      </w:r>
      <w:r>
        <w:tab/>
        <w:t xml:space="preserve">Evaluation of RAN-CN </w:t>
      </w:r>
      <w:r>
        <w:rPr>
          <w:lang w:val="en-US" w:eastAsia="zh-CN"/>
        </w:rPr>
        <w:t>I</w:t>
      </w:r>
      <w:r>
        <w:t xml:space="preserve">nterface </w:t>
      </w:r>
      <w:r>
        <w:rPr>
          <w:lang w:val="en-US" w:eastAsia="zh-CN"/>
        </w:rPr>
        <w:t>O</w:t>
      </w:r>
      <w:r>
        <w:t>ptions</w:t>
      </w:r>
      <w:bookmarkEnd w:id="3"/>
    </w:p>
    <w:p w14:paraId="7815E704" w14:textId="77777777" w:rsidR="00F8466D" w:rsidRPr="00B0134F" w:rsidRDefault="00F8466D" w:rsidP="00F8466D">
      <w:pPr>
        <w:rPr>
          <w:rFonts w:eastAsia="SimSun"/>
          <w:i/>
          <w:iCs/>
          <w:color w:val="FF0000"/>
          <w:sz w:val="20"/>
          <w:szCs w:val="20"/>
          <w:lang w:eastAsia="zh-CN"/>
        </w:rPr>
      </w:pPr>
      <w:r w:rsidRPr="00B0134F">
        <w:rPr>
          <w:i/>
          <w:iCs/>
          <w:color w:val="FF0000"/>
          <w:sz w:val="20"/>
          <w:szCs w:val="20"/>
        </w:rPr>
        <w:t>This chapter includes evaluation and comparison of RAN-CN interface options described in clause 6.</w:t>
      </w:r>
      <w:r w:rsidRPr="00B0134F">
        <w:rPr>
          <w:rFonts w:eastAsia="SimSun"/>
          <w:i/>
          <w:iCs/>
          <w:color w:val="FF0000"/>
          <w:sz w:val="20"/>
          <w:szCs w:val="20"/>
          <w:lang w:eastAsia="zh-CN"/>
        </w:rPr>
        <w:t>1</w:t>
      </w:r>
      <w:r w:rsidRPr="00B0134F">
        <w:rPr>
          <w:i/>
          <w:iCs/>
          <w:color w:val="FF0000"/>
          <w:sz w:val="20"/>
          <w:szCs w:val="20"/>
        </w:rPr>
        <w:t>.3</w:t>
      </w:r>
      <w:r w:rsidRPr="00B0134F">
        <w:rPr>
          <w:rFonts w:eastAsia="SimSun"/>
          <w:i/>
          <w:iCs/>
          <w:color w:val="FF0000"/>
          <w:sz w:val="20"/>
          <w:szCs w:val="20"/>
          <w:lang w:eastAsia="zh-CN"/>
        </w:rPr>
        <w:t>.1</w:t>
      </w:r>
    </w:p>
    <w:p w14:paraId="693F1874" w14:textId="77777777" w:rsidR="00B0134F" w:rsidRPr="00B0134F" w:rsidRDefault="00B0134F" w:rsidP="00B0134F">
      <w:pPr>
        <w:rPr>
          <w:rFonts w:ascii="Times New Roman" w:hAnsi="Times New Roman" w:cs="Times New Roman"/>
          <w:i/>
          <w:iCs/>
          <w:color w:val="EE0000"/>
          <w:sz w:val="20"/>
          <w:szCs w:val="20"/>
          <w:lang w:val="en-GB"/>
        </w:rPr>
      </w:pPr>
      <w:r w:rsidRPr="00B0134F">
        <w:rPr>
          <w:rFonts w:ascii="Times New Roman" w:hAnsi="Times New Roman" w:cs="Times New Roman"/>
          <w:i/>
          <w:iCs/>
          <w:color w:val="EE0000"/>
          <w:sz w:val="20"/>
          <w:szCs w:val="20"/>
          <w:lang w:val="en-GB"/>
        </w:rPr>
        <w:t>For the purpose of evaluation, the following baseline assumptions apply:</w:t>
      </w:r>
    </w:p>
    <w:p w14:paraId="3778152F" w14:textId="77777777" w:rsidR="00B0134F" w:rsidRPr="00B0134F" w:rsidRDefault="00B0134F" w:rsidP="00DD562B">
      <w:pPr>
        <w:pStyle w:val="ListParagraph"/>
        <w:numPr>
          <w:ilvl w:val="0"/>
          <w:numId w:val="54"/>
        </w:numPr>
        <w:rPr>
          <w:rFonts w:ascii="Times New Roman" w:hAnsi="Times New Roman" w:cs="Times New Roman"/>
          <w:i/>
          <w:iCs/>
          <w:color w:val="EE0000"/>
          <w:sz w:val="20"/>
          <w:szCs w:val="20"/>
          <w:lang w:val="en-GB" w:eastAsia="en-US"/>
        </w:rPr>
      </w:pPr>
      <w:r w:rsidRPr="00B0134F">
        <w:rPr>
          <w:rFonts w:ascii="Times New Roman" w:hAnsi="Times New Roman" w:cs="Times New Roman"/>
          <w:i/>
          <w:iCs/>
          <w:color w:val="EE0000"/>
          <w:sz w:val="20"/>
          <w:szCs w:val="20"/>
          <w:lang w:val="en-GB" w:eastAsia="en-US"/>
        </w:rPr>
        <w:t xml:space="preserve">RAN–CN communication in the 6G system is logically point-to-point, irrespective of whether the interface is specified using elementary procedures (P2P) or service-based interactions (SBI). </w:t>
      </w:r>
    </w:p>
    <w:p w14:paraId="42018D99" w14:textId="77777777" w:rsidR="00B0134F" w:rsidRPr="00B0134F" w:rsidRDefault="00B0134F" w:rsidP="003E3D47">
      <w:pPr>
        <w:pStyle w:val="ListParagraph"/>
        <w:numPr>
          <w:ilvl w:val="0"/>
          <w:numId w:val="54"/>
        </w:numPr>
        <w:rPr>
          <w:rFonts w:ascii="Times New Roman" w:hAnsi="Times New Roman" w:cs="Times New Roman"/>
          <w:i/>
          <w:iCs/>
          <w:color w:val="EE0000"/>
          <w:sz w:val="20"/>
          <w:szCs w:val="20"/>
          <w:lang w:val="en-GB" w:eastAsia="en-US"/>
        </w:rPr>
      </w:pPr>
      <w:r w:rsidRPr="00B0134F">
        <w:rPr>
          <w:rFonts w:ascii="Times New Roman" w:hAnsi="Times New Roman" w:cs="Times New Roman"/>
          <w:i/>
          <w:iCs/>
          <w:color w:val="EE0000"/>
          <w:sz w:val="20"/>
          <w:szCs w:val="20"/>
          <w:lang w:val="en-GB" w:eastAsia="en-US"/>
        </w:rPr>
        <w:t xml:space="preserve">RAN–CN CP communication occurs between a specific 6G RAN node and a specific CN function, including the establishment, maintenance, and release of UE-related logical communication entities (e.g. UE contexts). </w:t>
      </w:r>
    </w:p>
    <w:p w14:paraId="170453CD" w14:textId="434826B4" w:rsidR="00B0134F" w:rsidRPr="00B0134F" w:rsidRDefault="00B0134F" w:rsidP="003E3D47">
      <w:pPr>
        <w:pStyle w:val="ListParagraph"/>
        <w:numPr>
          <w:ilvl w:val="0"/>
          <w:numId w:val="54"/>
        </w:numPr>
        <w:rPr>
          <w:rFonts w:ascii="Times New Roman" w:hAnsi="Times New Roman" w:cs="Times New Roman"/>
          <w:i/>
          <w:iCs/>
          <w:color w:val="EE0000"/>
          <w:sz w:val="20"/>
          <w:szCs w:val="20"/>
          <w:lang w:val="en-GB" w:eastAsia="en-US"/>
        </w:rPr>
      </w:pPr>
      <w:r w:rsidRPr="00B0134F">
        <w:rPr>
          <w:rFonts w:ascii="Times New Roman" w:hAnsi="Times New Roman" w:cs="Times New Roman"/>
          <w:i/>
          <w:iCs/>
          <w:color w:val="EE0000"/>
          <w:sz w:val="20"/>
          <w:szCs w:val="20"/>
          <w:lang w:val="en-GB" w:eastAsia="en-US"/>
        </w:rPr>
        <w:t>The procedures associated with RAN–CN CP communication are specific to the RAN–CN interface and are not assumed to be reusable on other system interfaces.</w:t>
      </w:r>
    </w:p>
    <w:p w14:paraId="5E65E798" w14:textId="77777777" w:rsidR="00C853A2" w:rsidRDefault="00C853A2" w:rsidP="00B0134F">
      <w:pPr>
        <w:rPr>
          <w:rFonts w:ascii="Times New Roman" w:hAnsi="Times New Roman" w:cs="Times New Roman"/>
          <w:i/>
          <w:iCs/>
          <w:color w:val="EE0000"/>
          <w:sz w:val="20"/>
          <w:szCs w:val="20"/>
          <w:lang w:val="en-GB"/>
        </w:rPr>
      </w:pPr>
    </w:p>
    <w:p w14:paraId="75C73386" w14:textId="51705B28" w:rsidR="00B0134F" w:rsidRPr="003406B1" w:rsidRDefault="00C853A2" w:rsidP="00B0134F">
      <w:pPr>
        <w:rPr>
          <w:rFonts w:ascii="Times New Roman" w:hAnsi="Times New Roman" w:cs="Times New Roman"/>
          <w:i/>
          <w:iCs/>
          <w:color w:val="EE0000"/>
          <w:sz w:val="20"/>
          <w:szCs w:val="20"/>
          <w:lang w:val="en-GB"/>
        </w:rPr>
      </w:pPr>
      <w:r>
        <w:rPr>
          <w:rFonts w:ascii="Times New Roman" w:hAnsi="Times New Roman" w:cs="Times New Roman"/>
          <w:i/>
          <w:iCs/>
          <w:color w:val="EE0000"/>
          <w:sz w:val="20"/>
          <w:szCs w:val="20"/>
          <w:lang w:val="en-GB"/>
        </w:rPr>
        <w:t>E</w:t>
      </w:r>
      <w:r w:rsidR="00B0134F" w:rsidRPr="003406B1">
        <w:rPr>
          <w:rFonts w:ascii="Times New Roman" w:hAnsi="Times New Roman" w:cs="Times New Roman"/>
          <w:i/>
          <w:iCs/>
          <w:color w:val="EE0000"/>
          <w:sz w:val="20"/>
          <w:szCs w:val="20"/>
          <w:lang w:val="en-GB"/>
        </w:rPr>
        <w:t>valuation criteria for the comparison of RAN–CN CP interface options:</w:t>
      </w:r>
    </w:p>
    <w:p w14:paraId="7583E6EB"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 Logical Communication Model</w:t>
      </w:r>
    </w:p>
    <w:p w14:paraId="61C9FA2F"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Ability to support explicit point-to-point logical communication between a 6G RAN node and CN functions, including UE-context anchoring and lifecycle handling.</w:t>
      </w:r>
    </w:p>
    <w:p w14:paraId="533A8038"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Preservation of clear RAN–CN functional boundaries, independent of whether procedures or services are used at the application layer.</w:t>
      </w:r>
    </w:p>
    <w:p w14:paraId="22934111"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b) Leveraging Existing 5G Deployments</w:t>
      </w:r>
    </w:p>
    <w:p w14:paraId="120BBD28"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Ability to leverage existing 5G RAN–CN interface communication functions and deployments with an acceptable level of adaptation.</w:t>
      </w:r>
    </w:p>
    <w:p w14:paraId="128AF04E"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Impact on migration effort, implementation complexity, and backward compatibility considerations.</w:t>
      </w:r>
    </w:p>
    <w:p w14:paraId="42F51043"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c) Deployment Flexibility</w:t>
      </w:r>
    </w:p>
    <w:p w14:paraId="47595BAD"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Support for different implementation environments, including dedicated hardware, virtualized, and cloud-based deployments.</w:t>
      </w:r>
    </w:p>
    <w:p w14:paraId="1C548E79"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Ability to operate in environments with separation of transport-layer and application-layer termination, such as the use of security proxies, load balancers, or dynamic relocation of function instances.</w:t>
      </w:r>
    </w:p>
    <w:p w14:paraId="1B3D65F3"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d) Authentication and Authorization</w:t>
      </w:r>
    </w:p>
    <w:p w14:paraId="5C64621F"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Ability to support authentication and authorization mechanisms that allow verification of peer entities.</w:t>
      </w:r>
    </w:p>
    <w:p w14:paraId="52AF5B3B"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Support for controlled usage of RAN–CN procedures, including scenarios where multiple CN entities may interact with a RAN node using a common set of procedures, subject to appropriate authorization and policy.</w:t>
      </w:r>
    </w:p>
    <w:p w14:paraId="734F75C0"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e) Signalling Efficiency and Performance</w:t>
      </w:r>
    </w:p>
    <w:p w14:paraId="29FE14C9"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Overall signaling overhead, processing cost, and performance implications for both RAN and CN.</w:t>
      </w:r>
    </w:p>
    <w:p w14:paraId="36AE0D2B" w14:textId="52D6015D" w:rsidR="00B0134F"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Suitability for realistic deployment scenarios, including scalability and operational efficiency considerations.</w:t>
      </w:r>
    </w:p>
    <w:p w14:paraId="3C5F9137" w14:textId="77777777" w:rsidR="00C4098E" w:rsidRPr="003406B1" w:rsidRDefault="00C4098E" w:rsidP="00B0134F">
      <w:pPr>
        <w:rPr>
          <w:rFonts w:ascii="Times New Roman" w:hAnsi="Times New Roman" w:cs="Times New Roman"/>
          <w:i/>
          <w:iCs/>
          <w:color w:val="EE0000"/>
          <w:sz w:val="20"/>
          <w:szCs w:val="20"/>
          <w:lang w:val="en-GB"/>
        </w:rPr>
      </w:pPr>
    </w:p>
    <w:p w14:paraId="1DD7BEB4" w14:textId="05278893" w:rsidR="00F8466D" w:rsidRDefault="00C24F53" w:rsidP="00E51853">
      <w:pPr>
        <w:rPr>
          <w:rFonts w:ascii="Times New Roman" w:hAnsi="Times New Roman" w:cs="Times New Roman"/>
          <w:i/>
          <w:iCs/>
          <w:color w:val="EE0000"/>
          <w:sz w:val="20"/>
          <w:szCs w:val="20"/>
        </w:rPr>
      </w:pPr>
      <w:r w:rsidRPr="00C24F53">
        <w:rPr>
          <w:color w:val="FF0000"/>
          <w:lang w:val="en-GB"/>
        </w:rPr>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sectPr w:rsidR="00F8466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DC23E" w14:textId="77777777" w:rsidR="00DF01D0" w:rsidRDefault="00DF01D0">
      <w:r>
        <w:separator/>
      </w:r>
    </w:p>
  </w:endnote>
  <w:endnote w:type="continuationSeparator" w:id="0">
    <w:p w14:paraId="2B75591F" w14:textId="77777777" w:rsidR="00DF01D0" w:rsidRDefault="00DF01D0">
      <w:r>
        <w:continuationSeparator/>
      </w:r>
    </w:p>
  </w:endnote>
  <w:endnote w:type="continuationNotice" w:id="1">
    <w:p w14:paraId="2DBCAD8E" w14:textId="77777777" w:rsidR="00DF01D0" w:rsidRDefault="00DF0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5791" w14:textId="77777777" w:rsidR="00DF01D0" w:rsidRDefault="00DF01D0">
      <w:r>
        <w:separator/>
      </w:r>
    </w:p>
  </w:footnote>
  <w:footnote w:type="continuationSeparator" w:id="0">
    <w:p w14:paraId="130A4E8D" w14:textId="77777777" w:rsidR="00DF01D0" w:rsidRDefault="00DF01D0">
      <w:r>
        <w:continuationSeparator/>
      </w:r>
    </w:p>
  </w:footnote>
  <w:footnote w:type="continuationNotice" w:id="1">
    <w:p w14:paraId="3DFB56AA" w14:textId="77777777" w:rsidR="00DF01D0" w:rsidRDefault="00DF01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3078"/>
    <w:multiLevelType w:val="hybridMultilevel"/>
    <w:tmpl w:val="451A66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1444FC"/>
    <w:multiLevelType w:val="hybridMultilevel"/>
    <w:tmpl w:val="982A10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A73F80"/>
    <w:multiLevelType w:val="hybridMultilevel"/>
    <w:tmpl w:val="ABF44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16D948AA"/>
    <w:multiLevelType w:val="hybridMultilevel"/>
    <w:tmpl w:val="186AEF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37161"/>
    <w:multiLevelType w:val="hybridMultilevel"/>
    <w:tmpl w:val="EB5EF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49A4E63"/>
    <w:multiLevelType w:val="hybridMultilevel"/>
    <w:tmpl w:val="E402CD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9"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0A557B"/>
    <w:multiLevelType w:val="hybridMultilevel"/>
    <w:tmpl w:val="53787E5A"/>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7"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8" w15:restartNumberingAfterBreak="0">
    <w:nsid w:val="46B30383"/>
    <w:multiLevelType w:val="hybridMultilevel"/>
    <w:tmpl w:val="B5448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CA0C73"/>
    <w:multiLevelType w:val="hybridMultilevel"/>
    <w:tmpl w:val="9782FF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4DB21DF"/>
    <w:multiLevelType w:val="hybridMultilevel"/>
    <w:tmpl w:val="9BF6C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A4471D"/>
    <w:multiLevelType w:val="hybridMultilevel"/>
    <w:tmpl w:val="CCA46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8E5435"/>
    <w:multiLevelType w:val="hybridMultilevel"/>
    <w:tmpl w:val="EA28AA28"/>
    <w:lvl w:ilvl="0" w:tplc="04090013">
      <w:start w:val="1"/>
      <w:numFmt w:val="upperRoman"/>
      <w:lvlText w:val="%1."/>
      <w:lvlJc w:val="right"/>
      <w:pPr>
        <w:ind w:left="722" w:hanging="360"/>
      </w:p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35F6D2C"/>
    <w:multiLevelType w:val="hybridMultilevel"/>
    <w:tmpl w:val="DB20ED2C"/>
    <w:lvl w:ilvl="0" w:tplc="0409000B">
      <w:start w:val="1"/>
      <w:numFmt w:val="bullet"/>
      <w:lvlText w:val=""/>
      <w:lvlJc w:val="left"/>
      <w:pPr>
        <w:ind w:left="721" w:hanging="360"/>
      </w:pPr>
      <w:rPr>
        <w:rFonts w:ascii="Wingdings" w:hAnsi="Wingdings"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40"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EF75E2"/>
    <w:multiLevelType w:val="hybridMultilevel"/>
    <w:tmpl w:val="4E5463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6C9D14A8"/>
    <w:multiLevelType w:val="hybridMultilevel"/>
    <w:tmpl w:val="4380E9F2"/>
    <w:lvl w:ilvl="0" w:tplc="0409000B">
      <w:start w:val="1"/>
      <w:numFmt w:val="bullet"/>
      <w:lvlText w:val=""/>
      <w:lvlJc w:val="left"/>
      <w:pPr>
        <w:ind w:left="720" w:hanging="360"/>
      </w:pPr>
      <w:rPr>
        <w:rFonts w:ascii="Wingdings" w:hAnsi="Wingdings" w:hint="default"/>
      </w:rPr>
    </w:lvl>
    <w:lvl w:ilvl="1" w:tplc="7632D9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BB6531"/>
    <w:multiLevelType w:val="hybridMultilevel"/>
    <w:tmpl w:val="C7660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E5497C"/>
    <w:multiLevelType w:val="hybridMultilevel"/>
    <w:tmpl w:val="A0EAAB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140237">
    <w:abstractNumId w:val="26"/>
  </w:num>
  <w:num w:numId="2" w16cid:durableId="1480534222">
    <w:abstractNumId w:val="17"/>
  </w:num>
  <w:num w:numId="3" w16cid:durableId="1543982303">
    <w:abstractNumId w:val="24"/>
  </w:num>
  <w:num w:numId="4" w16cid:durableId="1093892507">
    <w:abstractNumId w:val="4"/>
  </w:num>
  <w:num w:numId="5" w16cid:durableId="508103003">
    <w:abstractNumId w:val="22"/>
  </w:num>
  <w:num w:numId="6" w16cid:durableId="1311792546">
    <w:abstractNumId w:val="8"/>
  </w:num>
  <w:num w:numId="7" w16cid:durableId="576746166">
    <w:abstractNumId w:val="6"/>
  </w:num>
  <w:num w:numId="8" w16cid:durableId="965043860">
    <w:abstractNumId w:val="27"/>
  </w:num>
  <w:num w:numId="9" w16cid:durableId="635336301">
    <w:abstractNumId w:val="18"/>
  </w:num>
  <w:num w:numId="10" w16cid:durableId="1104812137">
    <w:abstractNumId w:val="31"/>
  </w:num>
  <w:num w:numId="11" w16cid:durableId="768544805">
    <w:abstractNumId w:val="18"/>
  </w:num>
  <w:num w:numId="12" w16cid:durableId="1368529065">
    <w:abstractNumId w:val="27"/>
  </w:num>
  <w:num w:numId="13" w16cid:durableId="1299844548">
    <w:abstractNumId w:val="18"/>
  </w:num>
  <w:num w:numId="14" w16cid:durableId="1782723989">
    <w:abstractNumId w:val="19"/>
  </w:num>
  <w:num w:numId="15" w16cid:durableId="508452317">
    <w:abstractNumId w:val="43"/>
  </w:num>
  <w:num w:numId="16" w16cid:durableId="1719163260">
    <w:abstractNumId w:val="6"/>
  </w:num>
  <w:num w:numId="17" w16cid:durableId="1356929422">
    <w:abstractNumId w:val="40"/>
  </w:num>
  <w:num w:numId="18" w16cid:durableId="852494765">
    <w:abstractNumId w:val="16"/>
  </w:num>
  <w:num w:numId="19" w16cid:durableId="525565198">
    <w:abstractNumId w:val="20"/>
  </w:num>
  <w:num w:numId="20" w16cid:durableId="2095860007">
    <w:abstractNumId w:val="46"/>
  </w:num>
  <w:num w:numId="21" w16cid:durableId="459304032">
    <w:abstractNumId w:val="10"/>
  </w:num>
  <w:num w:numId="22" w16cid:durableId="232207564">
    <w:abstractNumId w:val="49"/>
  </w:num>
  <w:num w:numId="23" w16cid:durableId="935475604">
    <w:abstractNumId w:val="21"/>
  </w:num>
  <w:num w:numId="24" w16cid:durableId="1421483981">
    <w:abstractNumId w:val="11"/>
  </w:num>
  <w:num w:numId="25" w16cid:durableId="170872099">
    <w:abstractNumId w:val="15"/>
  </w:num>
  <w:num w:numId="26" w16cid:durableId="1651860266">
    <w:abstractNumId w:val="29"/>
  </w:num>
  <w:num w:numId="27" w16cid:durableId="206334135">
    <w:abstractNumId w:val="41"/>
  </w:num>
  <w:num w:numId="28" w16cid:durableId="803473317">
    <w:abstractNumId w:val="36"/>
  </w:num>
  <w:num w:numId="29" w16cid:durableId="1011104435">
    <w:abstractNumId w:val="25"/>
  </w:num>
  <w:num w:numId="30" w16cid:durableId="681591564">
    <w:abstractNumId w:val="13"/>
  </w:num>
  <w:num w:numId="31" w16cid:durableId="2031301000">
    <w:abstractNumId w:val="2"/>
  </w:num>
  <w:num w:numId="32" w16cid:durableId="1771007282">
    <w:abstractNumId w:val="38"/>
  </w:num>
  <w:num w:numId="33" w16cid:durableId="1059012627">
    <w:abstractNumId w:val="5"/>
  </w:num>
  <w:num w:numId="34" w16cid:durableId="1094936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33"/>
  </w:num>
  <w:num w:numId="36" w16cid:durableId="1438215381">
    <w:abstractNumId w:val="45"/>
  </w:num>
  <w:num w:numId="37" w16cid:durableId="1391995608">
    <w:abstractNumId w:val="32"/>
  </w:num>
  <w:num w:numId="38" w16cid:durableId="952980896">
    <w:abstractNumId w:val="9"/>
  </w:num>
  <w:num w:numId="39" w16cid:durableId="1722899580">
    <w:abstractNumId w:val="34"/>
  </w:num>
  <w:num w:numId="40" w16cid:durableId="1294605395">
    <w:abstractNumId w:val="35"/>
  </w:num>
  <w:num w:numId="41" w16cid:durableId="189339196">
    <w:abstractNumId w:val="14"/>
  </w:num>
  <w:num w:numId="42" w16cid:durableId="1733774934">
    <w:abstractNumId w:val="47"/>
  </w:num>
  <w:num w:numId="43" w16cid:durableId="2137748491">
    <w:abstractNumId w:val="12"/>
  </w:num>
  <w:num w:numId="44" w16cid:durableId="1400904542">
    <w:abstractNumId w:val="7"/>
  </w:num>
  <w:num w:numId="45" w16cid:durableId="1909876248">
    <w:abstractNumId w:val="44"/>
  </w:num>
  <w:num w:numId="46" w16cid:durableId="104233724">
    <w:abstractNumId w:val="39"/>
  </w:num>
  <w:num w:numId="47" w16cid:durableId="1195653215">
    <w:abstractNumId w:val="30"/>
  </w:num>
  <w:num w:numId="48" w16cid:durableId="2137990138">
    <w:abstractNumId w:val="42"/>
  </w:num>
  <w:num w:numId="49" w16cid:durableId="210770173">
    <w:abstractNumId w:val="28"/>
  </w:num>
  <w:num w:numId="50" w16cid:durableId="634027039">
    <w:abstractNumId w:val="48"/>
  </w:num>
  <w:num w:numId="51" w16cid:durableId="1325089811">
    <w:abstractNumId w:val="37"/>
  </w:num>
  <w:num w:numId="52" w16cid:durableId="843668917">
    <w:abstractNumId w:val="23"/>
  </w:num>
  <w:num w:numId="53" w16cid:durableId="1097795290">
    <w:abstractNumId w:val="3"/>
  </w:num>
  <w:num w:numId="54" w16cid:durableId="6503506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83A"/>
    <w:rsid w:val="00044CFA"/>
    <w:rsid w:val="00044FD7"/>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22F"/>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9E3"/>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6B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5E62"/>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0F"/>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D59"/>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4961"/>
    <w:rsid w:val="00405895"/>
    <w:rsid w:val="00406A56"/>
    <w:rsid w:val="00406B4D"/>
    <w:rsid w:val="00407223"/>
    <w:rsid w:val="00407B21"/>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39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421D"/>
    <w:rsid w:val="0077500F"/>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4A23"/>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3C0"/>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134F"/>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098E"/>
    <w:rsid w:val="00C41377"/>
    <w:rsid w:val="00C4171B"/>
    <w:rsid w:val="00C42689"/>
    <w:rsid w:val="00C42988"/>
    <w:rsid w:val="00C42BD4"/>
    <w:rsid w:val="00C432E1"/>
    <w:rsid w:val="00C43FF0"/>
    <w:rsid w:val="00C44124"/>
    <w:rsid w:val="00C44641"/>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3A2"/>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6A14"/>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A5"/>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01D0"/>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1853"/>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66D"/>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A14"/>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26A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A1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spacing w:after="60" w:line="240" w:lineRule="auto"/>
      <w:contextualSpacing/>
      <w:jc w:val="both"/>
    </w:pPr>
    <w:rPr>
      <w:rFonts w:ascii="Calibri" w:eastAsia="SimSun" w:hAnsi="Calibri" w:cs="Calibri"/>
      <w:i/>
      <w:color w:val="FF0000"/>
      <w:sz w:val="16"/>
      <w:szCs w:val="16"/>
      <w14:ligatures w14:val="none"/>
    </w:rPr>
  </w:style>
  <w:style w:type="character" w:customStyle="1" w:styleId="GuidanceChar">
    <w:name w:val="Guidance Char"/>
    <w:link w:val="Guidance"/>
    <w:rsid w:val="001538A4"/>
    <w:rPr>
      <w:rFonts w:ascii="Calibri" w:hAnsi="Calibri"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1928</Words>
  <Characters>10991</Characters>
  <Application>Microsoft Office Word</Application>
  <DocSecurity>2</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2026-01-29T17:28:00Z</dcterms:created>
  <dcterms:modified xsi:type="dcterms:W3CDTF">2026-01-29T17:28:00Z</dcterms:modified>
</cp:coreProperties>
</file>